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NoSpacing"/>
        <w:jc w:val="center"/>
        <w:rPr>
          <w:rFonts w:ascii="Times New Roman" w:hAnsi="Times New Roman" w:cs="Times New Roman"/>
          <w:b/>
          <w:bCs/>
          <w:sz w:val="32"/>
          <w:szCs w:val="32"/>
        </w:rPr>
      </w:pPr>
    </w:p>
    <w:p w:rsidR="009F0C59" w:rsidRPr="00800FA4" w:rsidRDefault="009F0C59"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NoSpacing"/>
        <w:jc w:val="center"/>
        <w:rPr>
          <w:rFonts w:ascii="Times New Roman" w:hAnsi="Times New Roman" w:cs="Times New Roman"/>
          <w:b/>
          <w:bCs/>
          <w:sz w:val="32"/>
          <w:szCs w:val="32"/>
        </w:rPr>
      </w:pPr>
      <w:r>
        <w:rPr>
          <w:rFonts w:ascii="Times New Roman" w:hAnsi="Times New Roman" w:cs="Times New Roman"/>
          <w:b/>
          <w:bCs/>
          <w:sz w:val="32"/>
          <w:szCs w:val="32"/>
        </w:rPr>
        <w:t>на 2016</w:t>
      </w:r>
      <w:r w:rsidRPr="00800FA4">
        <w:rPr>
          <w:rFonts w:ascii="Times New Roman" w:hAnsi="Times New Roman" w:cs="Times New Roman"/>
          <w:b/>
          <w:bCs/>
          <w:sz w:val="32"/>
          <w:szCs w:val="32"/>
        </w:rPr>
        <w:t>-201</w:t>
      </w:r>
      <w:r>
        <w:rPr>
          <w:rFonts w:ascii="Times New Roman" w:hAnsi="Times New Roman" w:cs="Times New Roman"/>
          <w:b/>
          <w:bCs/>
          <w:sz w:val="32"/>
          <w:szCs w:val="32"/>
        </w:rPr>
        <w:t>9</w:t>
      </w:r>
      <w:r w:rsidRPr="00800FA4">
        <w:rPr>
          <w:rFonts w:ascii="Times New Roman" w:hAnsi="Times New Roman" w:cs="Times New Roman"/>
          <w:b/>
          <w:bCs/>
          <w:sz w:val="32"/>
          <w:szCs w:val="32"/>
        </w:rPr>
        <w:t xml:space="preserve"> годы.</w:t>
      </w:r>
    </w:p>
    <w:p w:rsidR="009F0C59" w:rsidRDefault="009F0C59" w:rsidP="005C0328"/>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08.02</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17.05</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28.06</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Pr="009E70FA" w:rsidRDefault="009F0C59" w:rsidP="009E70FA">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29.08</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с изм.на 30.09</w:t>
      </w:r>
      <w:r w:rsidRPr="007C69A2">
        <w:rPr>
          <w:rFonts w:ascii="Times New Roman" w:hAnsi="Times New Roman" w:cs="Times New Roman"/>
          <w:sz w:val="24"/>
          <w:szCs w:val="24"/>
        </w:rPr>
        <w:t>.2016г</w:t>
      </w:r>
      <w:r>
        <w:rPr>
          <w:rFonts w:ascii="Times New Roman" w:hAnsi="Times New Roman" w:cs="Times New Roman"/>
          <w:sz w:val="24"/>
          <w:szCs w:val="24"/>
        </w:rPr>
        <w:t>,</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с изм. на 18.10.2016г,</w:t>
      </w:r>
    </w:p>
    <w:p w:rsidR="009F0C59" w:rsidRDefault="009F0C59" w:rsidP="009E70FA">
      <w:pPr>
        <w:tabs>
          <w:tab w:val="left" w:pos="2432"/>
        </w:tabs>
        <w:spacing w:after="0"/>
        <w:jc w:val="center"/>
        <w:rPr>
          <w:rFonts w:ascii="Times New Roman" w:hAnsi="Times New Roman" w:cs="Times New Roman"/>
          <w:sz w:val="24"/>
          <w:szCs w:val="24"/>
        </w:rPr>
      </w:pPr>
      <w:r>
        <w:rPr>
          <w:rFonts w:ascii="Times New Roman" w:hAnsi="Times New Roman" w:cs="Times New Roman"/>
          <w:sz w:val="24"/>
          <w:szCs w:val="24"/>
        </w:rPr>
        <w:t>с изм. на 09.11.2016г,</w:t>
      </w:r>
    </w:p>
    <w:p w:rsidR="009F0C59" w:rsidRPr="009E70FA" w:rsidRDefault="009F0C59" w:rsidP="009E70FA">
      <w:pPr>
        <w:tabs>
          <w:tab w:val="left" w:pos="3695"/>
        </w:tabs>
        <w:spacing w:after="0"/>
        <w:jc w:val="center"/>
        <w:rPr>
          <w:rFonts w:ascii="Times New Roman" w:hAnsi="Times New Roman" w:cs="Times New Roman"/>
          <w:sz w:val="24"/>
          <w:szCs w:val="24"/>
        </w:rPr>
      </w:pPr>
      <w:r w:rsidRPr="009E70FA">
        <w:rPr>
          <w:rFonts w:ascii="Times New Roman" w:hAnsi="Times New Roman" w:cs="Times New Roman"/>
          <w:sz w:val="24"/>
          <w:szCs w:val="24"/>
        </w:rPr>
        <w:t>с изм. на 18.11.2016г</w:t>
      </w:r>
      <w:r>
        <w:rPr>
          <w:rFonts w:ascii="Times New Roman" w:hAnsi="Times New Roman" w:cs="Times New Roman"/>
          <w:sz w:val="24"/>
          <w:szCs w:val="24"/>
        </w:rPr>
        <w:t>,</w:t>
      </w:r>
    </w:p>
    <w:p w:rsidR="009F0C59" w:rsidRPr="009E70FA" w:rsidRDefault="009F0C59" w:rsidP="003F7EB1">
      <w:pPr>
        <w:tabs>
          <w:tab w:val="left" w:pos="3695"/>
        </w:tabs>
        <w:spacing w:after="0" w:line="240" w:lineRule="atLeast"/>
        <w:jc w:val="center"/>
        <w:rPr>
          <w:rFonts w:ascii="Times New Roman" w:hAnsi="Times New Roman" w:cs="Times New Roman"/>
          <w:sz w:val="24"/>
          <w:szCs w:val="24"/>
        </w:rPr>
      </w:pPr>
      <w:r w:rsidRPr="009E70FA">
        <w:rPr>
          <w:rFonts w:ascii="Times New Roman" w:hAnsi="Times New Roman" w:cs="Times New Roman"/>
          <w:sz w:val="24"/>
          <w:szCs w:val="24"/>
        </w:rPr>
        <w:t xml:space="preserve"> с изм. на 30.12.2016г</w:t>
      </w:r>
    </w:p>
    <w:p w:rsidR="009F0C59" w:rsidRDefault="009F0C59" w:rsidP="003F7EB1">
      <w:pPr>
        <w:tabs>
          <w:tab w:val="left" w:pos="369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с изм. на 21.03.2017</w:t>
      </w:r>
      <w:r w:rsidRPr="009E70FA">
        <w:rPr>
          <w:rFonts w:ascii="Times New Roman" w:hAnsi="Times New Roman" w:cs="Times New Roman"/>
          <w:sz w:val="24"/>
          <w:szCs w:val="24"/>
        </w:rPr>
        <w:t>г</w:t>
      </w:r>
      <w:r>
        <w:rPr>
          <w:rFonts w:ascii="Times New Roman" w:hAnsi="Times New Roman" w:cs="Times New Roman"/>
          <w:sz w:val="24"/>
          <w:szCs w:val="24"/>
        </w:rPr>
        <w:t>,</w:t>
      </w:r>
    </w:p>
    <w:p w:rsidR="009F0C59" w:rsidRDefault="009F0C59" w:rsidP="006C4DD1">
      <w:pPr>
        <w:tabs>
          <w:tab w:val="left" w:pos="369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 изм. на 28.04.2017</w:t>
      </w:r>
      <w:r w:rsidRPr="009E70FA">
        <w:rPr>
          <w:rFonts w:ascii="Times New Roman" w:hAnsi="Times New Roman" w:cs="Times New Roman"/>
          <w:sz w:val="24"/>
          <w:szCs w:val="24"/>
        </w:rPr>
        <w:t>г</w:t>
      </w:r>
      <w:r>
        <w:rPr>
          <w:rFonts w:ascii="Times New Roman" w:hAnsi="Times New Roman" w:cs="Times New Roman"/>
          <w:sz w:val="24"/>
          <w:szCs w:val="24"/>
        </w:rPr>
        <w:t>.</w:t>
      </w:r>
    </w:p>
    <w:p w:rsidR="009F0C59" w:rsidRPr="009E70FA" w:rsidRDefault="009F0C59" w:rsidP="009E70FA">
      <w:pPr>
        <w:tabs>
          <w:tab w:val="left" w:pos="3695"/>
        </w:tabs>
        <w:jc w:val="center"/>
        <w:rPr>
          <w:rFonts w:ascii="Times New Roman" w:hAnsi="Times New Roman" w:cs="Times New Roman"/>
          <w:sz w:val="24"/>
          <w:szCs w:val="24"/>
        </w:rPr>
      </w:pPr>
    </w:p>
    <w:p w:rsidR="009F0C59" w:rsidRDefault="009F0C59" w:rsidP="00CA6A23"/>
    <w:p w:rsidR="009F0C59" w:rsidRPr="00E966EF" w:rsidRDefault="009F0C59" w:rsidP="00CA6A23">
      <w:pPr>
        <w:rPr>
          <w:u w:val="single"/>
        </w:rPr>
      </w:pPr>
    </w:p>
    <w:p w:rsidR="009F0C59" w:rsidRPr="00E966EF" w:rsidRDefault="009F0C59" w:rsidP="00CA6A23">
      <w:pPr>
        <w:jc w:val="center"/>
        <w:rPr>
          <w:u w:val="single"/>
        </w:rPr>
      </w:pPr>
      <w:r>
        <w:rPr>
          <w:u w:val="single"/>
        </w:rPr>
        <w:t>пгт Старая Торопа</w:t>
      </w:r>
    </w:p>
    <w:p w:rsidR="009F0C59" w:rsidRPr="00432316" w:rsidRDefault="009F0C59" w:rsidP="005C0328">
      <w:r>
        <w:t xml:space="preserve">                                                                                     2015 год</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Паспорт</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Pr>
          <w:rFonts w:ascii="Times New Roman" w:hAnsi="Times New Roman" w:cs="Times New Roman"/>
        </w:rPr>
        <w:t>городского поселения поселок Старая Торопа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Pr>
          <w:rFonts w:ascii="Times New Roman" w:hAnsi="Times New Roman" w:cs="Times New Roman"/>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9577" w:type="dxa"/>
        <w:tblInd w:w="2" w:type="dxa"/>
        <w:tblLayout w:type="fixed"/>
        <w:tblCellMar>
          <w:top w:w="75" w:type="dxa"/>
          <w:left w:w="0" w:type="dxa"/>
          <w:bottom w:w="75" w:type="dxa"/>
          <w:right w:w="0" w:type="dxa"/>
        </w:tblCellMar>
        <w:tblLook w:val="0000"/>
      </w:tblPr>
      <w:tblGrid>
        <w:gridCol w:w="3261"/>
        <w:gridCol w:w="6316"/>
      </w:tblGrid>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2016-2019</w:t>
            </w:r>
            <w:r w:rsidRPr="009D008F">
              <w:rPr>
                <w:rFonts w:ascii="Times New Roman" w:hAnsi="Times New Roman" w:cs="Times New Roman"/>
              </w:rPr>
              <w:t xml:space="preserve"> годы (далее - муниципальная программа).</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2016 - 2019</w:t>
            </w:r>
            <w:r w:rsidRPr="009D008F">
              <w:rPr>
                <w:rFonts w:ascii="Times New Roman" w:hAnsi="Times New Roman" w:cs="Times New Roman"/>
              </w:rPr>
              <w:t xml:space="preserve"> годы.</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Торопа.»(далее подпрограмма 3).</w:t>
            </w:r>
          </w:p>
        </w:tc>
      </w:tr>
      <w:tr w:rsidR="009F0C59" w:rsidRPr="009D008F">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2019</w:t>
            </w:r>
            <w:r w:rsidRPr="009D008F">
              <w:rPr>
                <w:rFonts w:ascii="Times New Roman" w:hAnsi="Times New Roman" w:cs="Times New Roman"/>
              </w:rPr>
              <w:t xml:space="preserve"> году.</w:t>
            </w: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2019</w:t>
            </w:r>
            <w:r w:rsidRPr="009D008F">
              <w:rPr>
                <w:rFonts w:ascii="Times New Roman" w:hAnsi="Times New Roman" w:cs="Times New Roman"/>
              </w:rPr>
              <w:t xml:space="preserve"> году.</w:t>
            </w:r>
          </w:p>
          <w:p w:rsidR="009F0C59" w:rsidRPr="009D008F" w:rsidRDefault="009F0C59"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2019</w:t>
            </w:r>
            <w:r w:rsidRPr="009D008F">
              <w:rPr>
                <w:rFonts w:ascii="Times New Roman" w:hAnsi="Times New Roman" w:cs="Times New Roman"/>
              </w:rPr>
              <w:t xml:space="preserve"> году</w:t>
            </w:r>
          </w:p>
        </w:tc>
      </w:tr>
      <w:tr w:rsidR="009F0C59" w:rsidRPr="009D008F">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9F0C59" w:rsidRPr="006C4DD1" w:rsidRDefault="009F0C59" w:rsidP="006C4DD1">
            <w:pPr>
              <w:spacing w:after="0" w:line="240" w:lineRule="atLeast"/>
              <w:jc w:val="both"/>
              <w:rPr>
                <w:rFonts w:ascii="Times New Roman" w:hAnsi="Times New Roman" w:cs="Times New Roman"/>
              </w:rPr>
            </w:pPr>
            <w:r w:rsidRPr="006C4DD1">
              <w:rPr>
                <w:rFonts w:ascii="Times New Roman" w:hAnsi="Times New Roman" w:cs="Times New Roman"/>
              </w:rPr>
              <w:t>Общий объем финансирования муниципальной программы на 2016-2019 годы – 4916,3 тыс.руб., в том числе по годам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2016 год – 2821,3 тыс. руб.</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2017 год – 1285,9 тыс. руб.</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2018 год – 430,0 тыс. 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2019 год – 379,1 тыс. 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r w:rsidRPr="006C4DD1">
              <w:rPr>
                <w:rFonts w:ascii="Times New Roman" w:hAnsi="Times New Roman" w:cs="Times New Roman"/>
              </w:rPr>
              <w:t xml:space="preserve">   </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472"/>
                <w:tab w:val="left" w:pos="3288"/>
                <w:tab w:val="left" w:pos="4293"/>
              </w:tabs>
              <w:autoSpaceDE w:val="0"/>
              <w:autoSpaceDN w:val="0"/>
              <w:adjustRightInd w:val="0"/>
              <w:spacing w:after="0" w:line="240" w:lineRule="atLeast"/>
              <w:jc w:val="both"/>
              <w:rPr>
                <w:rFonts w:ascii="Times New Roman" w:hAnsi="Times New Roman" w:cs="Times New Roman"/>
              </w:rPr>
            </w:pPr>
            <w:r w:rsidRPr="006C4DD1">
              <w:rPr>
                <w:rFonts w:ascii="Times New Roman" w:hAnsi="Times New Roman" w:cs="Times New Roman"/>
              </w:rPr>
              <w:t>956,3 тыс. руб.     0,0 тыс.руб.          0,0 тыс.руб.        0,0 тыс.руб.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1258,2 тыс.руб.  </w:t>
            </w:r>
            <w:r>
              <w:rPr>
                <w:rFonts w:ascii="Times New Roman" w:hAnsi="Times New Roman" w:cs="Times New Roman"/>
              </w:rPr>
              <w:t xml:space="preserve">   </w:t>
            </w:r>
            <w:r w:rsidRPr="006C4DD1">
              <w:rPr>
                <w:rFonts w:ascii="Times New Roman" w:hAnsi="Times New Roman" w:cs="Times New Roman"/>
              </w:rPr>
              <w:t xml:space="preserve"> 899,6 тыс.руб.        0,0 тыс.руб.      0,0 тыс.руб.</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9F0C59" w:rsidRPr="006C4DD1" w:rsidRDefault="009F0C59" w:rsidP="006C4DD1">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2017г.                         2018г.               2019г.</w:t>
            </w:r>
          </w:p>
          <w:p w:rsidR="009F0C59" w:rsidRPr="006C4DD1" w:rsidRDefault="009F0C59" w:rsidP="006C4DD1">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606</w:t>
            </w:r>
            <w:r>
              <w:rPr>
                <w:rFonts w:ascii="Times New Roman" w:hAnsi="Times New Roman" w:cs="Times New Roman"/>
              </w:rPr>
              <w:t xml:space="preserve">,8 тыс.руб.    </w:t>
            </w:r>
            <w:r w:rsidRPr="006C4DD1">
              <w:rPr>
                <w:rFonts w:ascii="Times New Roman" w:hAnsi="Times New Roman" w:cs="Times New Roman"/>
              </w:rPr>
              <w:t>386,3 тыс.руб.      430,0 тыс.руб.    379,1 тыс.руб.</w:t>
            </w:r>
          </w:p>
          <w:p w:rsidR="009F0C59" w:rsidRPr="009D008F" w:rsidRDefault="009F0C59" w:rsidP="00A70C1E">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33208E">
          <w:type w:val="continuous"/>
          <w:pgSz w:w="11906" w:h="16838"/>
          <w:pgMar w:top="1134" w:right="850" w:bottom="1134" w:left="1701" w:header="708" w:footer="708"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5"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Улицы и дороги поселка</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10. Муниципальная программа направлена на достижение цели "</w:t>
      </w:r>
      <w:r w:rsidRPr="009328FA">
        <w:rPr>
          <w:rFonts w:ascii="Times New Roman" w:hAnsi="Times New Roman" w:cs="Times New Roman"/>
        </w:rPr>
        <w:t xml:space="preserve"> </w:t>
      </w:r>
      <w:r w:rsidRPr="00CA6A23">
        <w:rPr>
          <w:rFonts w:ascii="Times New Roman" w:hAnsi="Times New Roman" w:cs="Times New Roman"/>
        </w:rPr>
        <w:t xml:space="preserve">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 являются:</w:t>
      </w:r>
    </w:p>
    <w:p w:rsidR="009F0C59" w:rsidRPr="00CA6A23" w:rsidRDefault="009F0C59"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w:t>
      </w:r>
      <w:r>
        <w:rPr>
          <w:rFonts w:ascii="Times New Roman" w:hAnsi="Times New Roman" w:cs="Times New Roman"/>
        </w:rPr>
        <w:t xml:space="preserve"> </w:t>
      </w:r>
      <w:r w:rsidRPr="00CA6A23">
        <w:rPr>
          <w:rFonts w:ascii="Times New Roman" w:hAnsi="Times New Roman" w:cs="Times New Roman"/>
        </w:rPr>
        <w:t>снижение доли населения, проживающего в многоквартирных жилых домах, признанных в установленном порядке аварийными;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r>
        <w:rPr>
          <w:rFonts w:ascii="Times New Roman" w:hAnsi="Times New Roman" w:cs="Times New Roman"/>
        </w:rPr>
        <w:t>повышение надежности работы систем коммунальной инфраструктуры</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Pr>
          <w:rFonts w:ascii="Times New Roman" w:hAnsi="Times New Roman" w:cs="Times New Roman"/>
        </w:rPr>
        <w:t xml:space="preserve">)повышение </w:t>
      </w:r>
      <w:r w:rsidRPr="00CA6A23">
        <w:rPr>
          <w:rFonts w:ascii="Times New Roman" w:hAnsi="Times New Roman" w:cs="Times New Roman"/>
        </w:rPr>
        <w:t>удовлетворенност</w:t>
      </w:r>
      <w:r>
        <w:rPr>
          <w:rFonts w:ascii="Times New Roman" w:hAnsi="Times New Roman" w:cs="Times New Roman"/>
        </w:rPr>
        <w:t xml:space="preserve">и населения деятельностью </w:t>
      </w:r>
      <w:r w:rsidRPr="00CA6A23">
        <w:rPr>
          <w:rFonts w:ascii="Times New Roman" w:hAnsi="Times New Roman" w:cs="Times New Roman"/>
        </w:rPr>
        <w:t>органов местного самоуправления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Pr>
          <w:rFonts w:ascii="Times New Roman" w:hAnsi="Times New Roman" w:cs="Times New Roman"/>
        </w:rPr>
        <w:t>городского посления поселок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Pr>
          <w:rFonts w:ascii="Times New Roman" w:hAnsi="Times New Roman" w:cs="Times New Roman"/>
        </w:rPr>
        <w:t xml:space="preserve"> городского</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w:t>
      </w:r>
      <w:r w:rsidRPr="00FC746B">
        <w:rPr>
          <w:rFonts w:ascii="Times New Roman" w:hAnsi="Times New Roman" w:cs="Times New Roman"/>
        </w:rPr>
        <w:t xml:space="preserve"> </w:t>
      </w:r>
      <w:r>
        <w:rPr>
          <w:rFonts w:ascii="Times New Roman" w:hAnsi="Times New Roman" w:cs="Times New Roman"/>
        </w:rPr>
        <w:t>поселок Старая Торопа</w:t>
      </w:r>
      <w:r w:rsidRPr="00CA6A23">
        <w:rPr>
          <w:rFonts w:ascii="Times New Roman" w:hAnsi="Times New Roman" w:cs="Times New Roman"/>
        </w:rPr>
        <w:t xml:space="preserve"> </w:t>
      </w:r>
      <w:r>
        <w:rPr>
          <w:rFonts w:ascii="Times New Roman" w:hAnsi="Times New Roman" w:cs="Times New Roman"/>
        </w:rPr>
        <w:t xml:space="preserve">в </w:t>
      </w:r>
      <w:r w:rsidRPr="00CA6A23">
        <w:rPr>
          <w:rFonts w:ascii="Times New Roman" w:hAnsi="Times New Roman" w:cs="Times New Roman"/>
        </w:rPr>
        <w:t>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r>
        <w:rPr>
          <w:rFonts w:ascii="Times New Roman" w:hAnsi="Times New Roman" w:cs="Times New Roman"/>
        </w:rPr>
        <w:t>искл.</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задача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задача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посроек на территории </w:t>
      </w:r>
      <w:r>
        <w:rPr>
          <w:rFonts w:ascii="Times New Roman" w:hAnsi="Times New Roman" w:cs="Times New Roman"/>
        </w:rPr>
        <w:t>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доля жилых помещений и общего имущества, где проведен текуший ремонт  в общем объеме муниципального жилищного фонда;</w:t>
      </w:r>
    </w:p>
    <w:p w:rsidR="009F0C59" w:rsidRPr="00CA6A23"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17. </w:t>
      </w:r>
      <w:r>
        <w:rPr>
          <w:rFonts w:ascii="Times New Roman" w:hAnsi="Times New Roman" w:cs="Times New Roman"/>
        </w:rPr>
        <w:t>искл.</w:t>
      </w:r>
    </w:p>
    <w:p w:rsidR="009F0C59" w:rsidRPr="00CA6A23" w:rsidRDefault="009F0C59"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18.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выявленных аварийных домов.</w:t>
      </w:r>
    </w:p>
    <w:p w:rsidR="009F0C59" w:rsidRPr="00CA6A23" w:rsidRDefault="009F0C59" w:rsidP="004033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A6A23">
        <w:rPr>
          <w:rFonts w:ascii="Times New Roman" w:hAnsi="Times New Roman" w:cs="Times New Roman"/>
        </w:rPr>
        <w:t>19.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ветхого и аварийного жилищного фонда в общем объеме жилищного фонда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0</w:t>
      </w:r>
      <w:r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2</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Pr>
          <w:rFonts w:ascii="Times New Roman" w:hAnsi="Times New Roman" w:cs="Times New Roman"/>
        </w:rPr>
        <w:t xml:space="preserve"> </w:t>
      </w:r>
      <w:r w:rsidRPr="00CA6A23">
        <w:rPr>
          <w:rFonts w:ascii="Times New Roman" w:hAnsi="Times New Roman" w:cs="Times New Roman"/>
        </w:rPr>
        <w:t>административное мероприятие: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w:t>
      </w:r>
      <w:r>
        <w:rPr>
          <w:rFonts w:ascii="Times New Roman" w:hAnsi="Times New Roman" w:cs="Times New Roman"/>
        </w:rPr>
        <w:t xml:space="preserve"> </w:t>
      </w:r>
      <w:r w:rsidRPr="00453858">
        <w:rPr>
          <w:rFonts w:ascii="Times New Roman" w:hAnsi="Times New Roman" w:cs="Times New Roman"/>
        </w:rPr>
        <w:t>(косметический)  ремонт.</w:t>
      </w:r>
    </w:p>
    <w:p w:rsidR="009F0C59" w:rsidRPr="00CA6A23"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3</w:t>
      </w:r>
      <w:r w:rsidRPr="00CA6A23">
        <w:rPr>
          <w:rFonts w:ascii="Times New Roman" w:hAnsi="Times New Roman" w:cs="Times New Roman"/>
        </w:rPr>
        <w:t xml:space="preserve">. </w:t>
      </w:r>
      <w:r>
        <w:rPr>
          <w:rFonts w:ascii="Times New Roman" w:hAnsi="Times New Roman" w:cs="Times New Roman"/>
        </w:rPr>
        <w:t>искл.</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4</w:t>
      </w:r>
      <w:r w:rsidRPr="00CA6A23">
        <w:rPr>
          <w:rFonts w:ascii="Times New Roman" w:hAnsi="Times New Roman" w:cs="Times New Roman"/>
        </w:rPr>
        <w:t xml:space="preserve">.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 :</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оличество многоквартирных ж</w:t>
      </w:r>
      <w:r>
        <w:rPr>
          <w:rFonts w:ascii="Times New Roman" w:hAnsi="Times New Roman" w:cs="Times New Roman"/>
        </w:rPr>
        <w:t>илых домов, признанных межведом</w:t>
      </w:r>
      <w:r w:rsidRPr="009B4F03">
        <w:rPr>
          <w:rFonts w:ascii="Times New Roman" w:hAnsi="Times New Roman" w:cs="Times New Roman"/>
        </w:rPr>
        <w:t>ственной комиссией аварийными</w:t>
      </w:r>
      <w:r>
        <w:rPr>
          <w:rFonts w:ascii="Times New Roman" w:hAnsi="Times New Roman" w:cs="Times New Roman"/>
        </w:rPr>
        <w:t>;</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bookmarkStart w:id="0" w:name="Par134"/>
      <w:bookmarkEnd w:id="0"/>
      <w:r w:rsidRPr="00CA6A23">
        <w:rPr>
          <w:rFonts w:ascii="Times New Roman" w:hAnsi="Times New Roman" w:cs="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5</w:t>
      </w:r>
      <w:r w:rsidRPr="00CA6A23">
        <w:rPr>
          <w:rFonts w:ascii="Times New Roman" w:hAnsi="Times New Roman" w:cs="Times New Roman"/>
        </w:rPr>
        <w:t>.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осуществляются следующих мероприятий: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816F2">
        <w:rPr>
          <w:rFonts w:ascii="Times New Roman" w:hAnsi="Times New Roman" w:cs="Times New Roman"/>
        </w:rPr>
        <w:t>оличество снесенных аварийных домов и хозяйственных построек после переселения гражда</w:t>
      </w:r>
      <w:r>
        <w:rPr>
          <w:rFonts w:ascii="Times New Roman" w:hAnsi="Times New Roman" w:cs="Times New Roman"/>
        </w:rPr>
        <w:t>н из аварийного жилищного фонда;</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w:t>
      </w:r>
      <w:r w:rsidRPr="00D77BE2">
        <w:rPr>
          <w:rFonts w:ascii="Times New Roman" w:hAnsi="Times New Roman" w:cs="Times New Roman"/>
        </w:rPr>
        <w:t>Выплата выкупной цены жилого помещения</w:t>
      </w:r>
      <w:r>
        <w:rPr>
          <w:rFonts w:ascii="Times New Roman" w:hAnsi="Times New Roman" w:cs="Times New Roman"/>
        </w:rPr>
        <w:t>»</w:t>
      </w:r>
    </w:p>
    <w:p w:rsidR="009F0C59" w:rsidRPr="00BA1FAD" w:rsidRDefault="009F0C59" w:rsidP="00BA1FAD">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показатель: количество выплат</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 xml:space="preserve">6.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7A6110">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04"/>
        <w:gridCol w:w="1330"/>
        <w:gridCol w:w="1328"/>
        <w:gridCol w:w="1160"/>
        <w:gridCol w:w="1329"/>
        <w:gridCol w:w="1111"/>
      </w:tblGrid>
      <w:tr w:rsidR="009F0C59" w:rsidRPr="009D008F">
        <w:tc>
          <w:tcPr>
            <w:tcW w:w="324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1</w:t>
            </w:r>
          </w:p>
        </w:tc>
        <w:tc>
          <w:tcPr>
            <w:tcW w:w="5210"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3241"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34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17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2 искл.</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3 Выявление аварийного жилищного фода на территории поселения</w:t>
            </w: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5"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73" w:type="dxa"/>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6"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9F0C59" w:rsidRPr="009E70FA"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73" w:type="dxa"/>
          </w:tcPr>
          <w:p w:rsidR="009F0C59" w:rsidRPr="009E70FA" w:rsidRDefault="009F0C59" w:rsidP="00060D40">
            <w:pPr>
              <w:rPr>
                <w:rFonts w:ascii="Times New Roman" w:hAnsi="Times New Roman" w:cs="Times New Roman"/>
              </w:rPr>
            </w:pPr>
          </w:p>
          <w:p w:rsidR="009F0C59" w:rsidRPr="009E70FA" w:rsidRDefault="009F0C59" w:rsidP="00060D40">
            <w:pPr>
              <w:rPr>
                <w:rFonts w:ascii="Times New Roman" w:hAnsi="Times New Roman" w:cs="Times New Roman"/>
              </w:rPr>
            </w:pPr>
            <w:r w:rsidRPr="009E70FA">
              <w:rPr>
                <w:rFonts w:ascii="Times New Roman" w:hAnsi="Times New Roman" w:cs="Times New Roman"/>
              </w:rPr>
              <w:t xml:space="preserve">  </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19"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9F0C59" w:rsidRPr="009D008F">
        <w:tc>
          <w:tcPr>
            <w:tcW w:w="3235" w:type="dxa"/>
          </w:tcPr>
          <w:p w:rsidR="009F0C59" w:rsidRPr="009E70FA" w:rsidRDefault="009F0C59" w:rsidP="009D008F">
            <w:pPr>
              <w:widowControl w:val="0"/>
              <w:autoSpaceDE w:val="0"/>
              <w:autoSpaceDN w:val="0"/>
              <w:adjustRightInd w:val="0"/>
              <w:spacing w:after="0" w:line="240" w:lineRule="auto"/>
              <w:rPr>
                <w:rFonts w:ascii="Times New Roman" w:hAnsi="Times New Roman" w:cs="Times New Roman"/>
              </w:rPr>
            </w:pPr>
            <w:r w:rsidRPr="009E70FA">
              <w:rPr>
                <w:rFonts w:ascii="Times New Roman" w:hAnsi="Times New Roman" w:cs="Times New Roman"/>
              </w:rPr>
              <w:t>Итого</w:t>
            </w: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1345"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73" w:type="dxa"/>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346"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p>
        </w:tc>
        <w:tc>
          <w:tcPr>
            <w:tcW w:w="1119" w:type="dxa"/>
            <w:vAlign w:val="center"/>
          </w:tcPr>
          <w:p w:rsidR="009F0C59" w:rsidRPr="009E70FA" w:rsidRDefault="009F0C59" w:rsidP="00060D40">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rsidP="00F6506F">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rsidP="0051599D">
      <w:pPr>
        <w:rPr>
          <w:rFonts w:ascii="Times New Roman" w:hAnsi="Times New Roman" w:cs="Times New Roman"/>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за счет средств местного бюджета составляет </w:t>
      </w:r>
      <w:r>
        <w:rPr>
          <w:rFonts w:ascii="Times New Roman" w:hAnsi="Times New Roman" w:cs="Times New Roman"/>
        </w:rPr>
        <w:t>956,3</w:t>
      </w:r>
      <w:r w:rsidRPr="00CA6A23">
        <w:rPr>
          <w:rFonts w:ascii="Times New Roman" w:hAnsi="Times New Roman" w:cs="Times New Roman"/>
        </w:rPr>
        <w:t>тыс. рублей.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CA6A23">
          <w:rPr>
            <w:rFonts w:ascii="Times New Roman" w:hAnsi="Times New Roman" w:cs="Times New Roman"/>
            <w:color w:val="0000FF"/>
          </w:rPr>
          <w:t>таблице 2</w:t>
        </w:r>
      </w:hyperlink>
      <w:r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353"/>
        <w:gridCol w:w="1147"/>
        <w:gridCol w:w="951"/>
        <w:gridCol w:w="1087"/>
        <w:gridCol w:w="1378"/>
      </w:tblGrid>
      <w:tr w:rsidR="009F0C59" w:rsidRPr="009D008F">
        <w:tc>
          <w:tcPr>
            <w:tcW w:w="563"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38"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3"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5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51"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8"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56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353"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951" w:type="dxa"/>
          </w:tcPr>
          <w:p w:rsidR="009F0C59" w:rsidRPr="00F84D05" w:rsidRDefault="009F0C59" w:rsidP="00060D40">
            <w:pPr>
              <w:widowControl w:val="0"/>
              <w:autoSpaceDE w:val="0"/>
              <w:autoSpaceDN w:val="0"/>
              <w:adjustRightInd w:val="0"/>
              <w:rPr>
                <w:rFonts w:ascii="Times New Roman" w:hAnsi="Times New Roman" w:cs="Times New Roman"/>
              </w:rPr>
            </w:pPr>
          </w:p>
          <w:p w:rsidR="009F0C59" w:rsidRPr="00F84D05" w:rsidRDefault="009F0C59"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p w:rsidR="009F0C59" w:rsidRPr="00F84D05" w:rsidRDefault="009F0C59" w:rsidP="00060D40">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1087"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378" w:type="dxa"/>
            <w:vAlign w:val="center"/>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r w:rsidR="009F0C59" w:rsidRPr="009D008F">
        <w:tc>
          <w:tcPr>
            <w:tcW w:w="56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3" w:type="dxa"/>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1147"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951"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087" w:type="dxa"/>
          </w:tcPr>
          <w:p w:rsidR="009F0C59" w:rsidRPr="00F84D05" w:rsidRDefault="009F0C59" w:rsidP="00060D40">
            <w:pPr>
              <w:widowControl w:val="0"/>
              <w:autoSpaceDE w:val="0"/>
              <w:autoSpaceDN w:val="0"/>
              <w:adjustRightInd w:val="0"/>
              <w:jc w:val="center"/>
              <w:rPr>
                <w:rFonts w:ascii="Times New Roman" w:hAnsi="Times New Roman" w:cs="Times New Roman"/>
              </w:rPr>
            </w:pPr>
          </w:p>
        </w:tc>
        <w:tc>
          <w:tcPr>
            <w:tcW w:w="1378" w:type="dxa"/>
          </w:tcPr>
          <w:p w:rsidR="009F0C59" w:rsidRPr="00F84D05" w:rsidRDefault="009F0C59" w:rsidP="00060D40">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r>
    </w:tbl>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191E40">
      <w:pPr>
        <w:widowControl w:val="0"/>
        <w:autoSpaceDE w:val="0"/>
        <w:autoSpaceDN w:val="0"/>
        <w:adjustRightInd w:val="0"/>
        <w:spacing w:after="0" w:line="240" w:lineRule="auto"/>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2 "Повышение надежности и эффективности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аварийных ситуаций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предоставления коммунальных услуг.</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1</w:t>
      </w:r>
      <w:r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соответствие питьевой воды предоставляемой жителям поселения требованиям безопасности и нормам СанПиНа.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2</w:t>
      </w:r>
      <w:r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1" w:name="Par217"/>
      <w:bookmarkEnd w:id="1"/>
      <w:r w:rsidRPr="00CA6A23">
        <w:rPr>
          <w:rFonts w:ascii="Times New Roman" w:hAnsi="Times New Roman" w:cs="Times New Roman"/>
        </w:rPr>
        <w:t xml:space="preserve">б) </w:t>
      </w:r>
      <w:r>
        <w:rPr>
          <w:rFonts w:ascii="Times New Roman" w:hAnsi="Times New Roman" w:cs="Times New Roman"/>
        </w:rPr>
        <w:t xml:space="preserve"> </w:t>
      </w:r>
      <w:r w:rsidRPr="00CA6A23">
        <w:rPr>
          <w:rFonts w:ascii="Times New Roman" w:hAnsi="Times New Roman" w:cs="Times New Roman"/>
        </w:rPr>
        <w:t>мероприятие "</w:t>
      </w:r>
      <w:r w:rsidRPr="006B111D">
        <w:rPr>
          <w:rFonts w:ascii="Times New Roman" w:hAnsi="Times New Roman" w:cs="Times New Roman"/>
        </w:rPr>
        <w:t>Содержание и проведение ремонта  тепловых сетей в поселении";</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w:t>
      </w:r>
      <w:r w:rsidRPr="006B111D">
        <w:t xml:space="preserve"> </w:t>
      </w:r>
      <w:r w:rsidRPr="006B111D">
        <w:rPr>
          <w:rFonts w:ascii="Times New Roman" w:hAnsi="Times New Roman" w:cs="Times New Roman"/>
        </w:rPr>
        <w:t>протяженность тепловых сетей;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Pr="00E35A9B">
        <w:rPr>
          <w:rFonts w:ascii="Times New Roman" w:hAnsi="Times New Roman" w:cs="Times New Roman"/>
        </w:rPr>
        <w:t>мероприятие «Расходы на проведение капитального ремонта теплоэнергетических комплексов в поселении »;</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мероприятие "Строительство новых и содержание в надлежащем состоянии колодцев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к</w:t>
      </w:r>
      <w:r w:rsidRPr="00133740">
        <w:rPr>
          <w:rFonts w:ascii="Times New Roman" w:hAnsi="Times New Roman" w:cs="Times New Roman"/>
        </w:rPr>
        <w:t>оличество построеннных новых колодцев в населенных пунктах</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п</w:t>
      </w:r>
      <w:r w:rsidRPr="00133740">
        <w:rPr>
          <w:rFonts w:ascii="Times New Roman" w:hAnsi="Times New Roman" w:cs="Times New Roman"/>
        </w:rPr>
        <w:t>олучение субсидии из бюджет</w:t>
      </w:r>
      <w:r>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w:t>
      </w:r>
      <w:r w:rsidRPr="00E0069E">
        <w:rPr>
          <w:rFonts w:ascii="Times New Roman" w:hAnsi="Times New Roman" w:cs="Times New Roman"/>
        </w:rPr>
        <w:t>Финансовое обеспечение мероприятий по приобретению оборудования, механизмов для обслуживания теплоэнергетических комплексов в поселении</w:t>
      </w:r>
      <w:r w:rsidRPr="00E35A9B">
        <w:rPr>
          <w:rFonts w:ascii="Times New Roman" w:hAnsi="Times New Roman" w:cs="Times New Roman"/>
        </w:rPr>
        <w:t>»;</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Pr>
          <w:rFonts w:ascii="Times New Roman" w:hAnsi="Times New Roman" w:cs="Times New Roman"/>
        </w:rPr>
        <w:t>;</w:t>
      </w:r>
    </w:p>
    <w:p w:rsidR="009F0C59" w:rsidRPr="00223CB8" w:rsidRDefault="009F0C59"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w:t>
      </w:r>
      <w:r w:rsidRPr="00295D03">
        <w:rPr>
          <w:rFonts w:ascii="Times New Roman" w:hAnsi="Times New Roman" w:cs="Times New Roman"/>
          <w:sz w:val="28"/>
          <w:szCs w:val="28"/>
        </w:rPr>
        <w:t xml:space="preserve"> </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9F0C59" w:rsidRPr="00223CB8"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8B4AA5">
        <w:rPr>
          <w:rFonts w:ascii="Times New Roman" w:hAnsi="Times New Roman" w:cs="Times New Roman"/>
        </w:rPr>
        <w:t>и) мероприятие:"Составление проектно-сметной документации на строительство модульной котельной</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Pr="006C4DD1" w:rsidRDefault="009F0C59" w:rsidP="006C4DD1">
      <w:pPr>
        <w:spacing w:after="0" w:line="240" w:lineRule="atLeast"/>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к) </w:t>
      </w:r>
      <w:r w:rsidRPr="00223CB8">
        <w:rPr>
          <w:rFonts w:ascii="Times New Roman" w:hAnsi="Times New Roman" w:cs="Times New Roman"/>
        </w:rPr>
        <w:t xml:space="preserve">мероприятие: </w:t>
      </w:r>
      <w:r>
        <w:rPr>
          <w:rFonts w:ascii="Times New Roman" w:hAnsi="Times New Roman" w:cs="Times New Roman"/>
        </w:rPr>
        <w:t>«</w:t>
      </w:r>
      <w:r w:rsidRPr="006C4DD1">
        <w:rPr>
          <w:rFonts w:ascii="Times New Roman" w:hAnsi="Times New Roman" w:cs="Times New Roman"/>
        </w:rPr>
        <w:t>Инженерно-геологические и инженерно-экологические  изыскания на объекте "Модульная угольная котельная в пгт Старая Торопа, ул.Лесная"»</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показатель</w:t>
      </w:r>
      <w:r w:rsidRPr="006C4DD1">
        <w:rPr>
          <w:rFonts w:ascii="Times New Roman" w:hAnsi="Times New Roman" w:cs="Times New Roman"/>
        </w:rPr>
        <w:t>:</w:t>
      </w:r>
      <w:r>
        <w:rPr>
          <w:rFonts w:ascii="Times New Roman" w:hAnsi="Times New Roman" w:cs="Times New Roman"/>
        </w:rPr>
        <w:t xml:space="preserve"> </w:t>
      </w:r>
      <w:r w:rsidRPr="006C4DD1">
        <w:rPr>
          <w:rFonts w:ascii="Times New Roman" w:hAnsi="Times New Roman" w:cs="Times New Roman"/>
        </w:rPr>
        <w:t xml:space="preserve"> количество инженерно-геологических и инженерно-экологических  изысканий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3</w:t>
      </w:r>
      <w:r>
        <w:rPr>
          <w:rFonts w:ascii="Times New Roman" w:hAnsi="Times New Roman" w:cs="Times New Roman"/>
        </w:rPr>
        <w:t>3</w:t>
      </w:r>
      <w:r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Pr>
          <w:rFonts w:ascii="Times New Roman" w:hAnsi="Times New Roman" w:cs="Times New Roman"/>
        </w:rPr>
        <w:t>нения следующих мероприятий под</w:t>
      </w:r>
      <w:r w:rsidRPr="00CA6A23">
        <w:rPr>
          <w:rFonts w:ascii="Times New Roman" w:hAnsi="Times New Roman" w:cs="Times New Roman"/>
        </w:rPr>
        <w:t>п</w:t>
      </w:r>
      <w:r>
        <w:rPr>
          <w:rFonts w:ascii="Times New Roman" w:hAnsi="Times New Roman" w:cs="Times New Roman"/>
        </w:rPr>
        <w:t>р</w:t>
      </w:r>
      <w:r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Pr="00CA6A23">
          <w:rPr>
            <w:rFonts w:ascii="Times New Roman" w:hAnsi="Times New Roman" w:cs="Times New Roman"/>
            <w:color w:val="0000FF"/>
          </w:rPr>
          <w:t>"</w:t>
        </w:r>
        <w:r>
          <w:rPr>
            <w:rFonts w:ascii="Times New Roman" w:hAnsi="Times New Roman" w:cs="Times New Roman"/>
            <w:color w:val="0000FF"/>
          </w:rPr>
          <w:t>е</w:t>
        </w:r>
        <w:r w:rsidRPr="00CA6A23">
          <w:rPr>
            <w:rFonts w:ascii="Times New Roman" w:hAnsi="Times New Roman" w:cs="Times New Roman"/>
            <w:color w:val="0000FF"/>
          </w:rPr>
          <w:t>" пункта 3</w:t>
        </w:r>
      </w:hyperlink>
      <w:r>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cs="Times New Roman"/>
        </w:rPr>
        <w:t>городского поселения поселок Старая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5</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1336"/>
        <w:gridCol w:w="1326"/>
        <w:gridCol w:w="1115"/>
      </w:tblGrid>
      <w:tr w:rsidR="009F0C59" w:rsidRPr="009D008F">
        <w:tc>
          <w:tcPr>
            <w:tcW w:w="3172"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7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1115"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9F0C59" w:rsidRPr="009D008F">
        <w:tc>
          <w:tcPr>
            <w:tcW w:w="3172"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3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2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5"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172"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340"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867,2</w:t>
            </w:r>
          </w:p>
        </w:tc>
        <w:tc>
          <w:tcPr>
            <w:tcW w:w="1336"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p>
        </w:tc>
        <w:tc>
          <w:tcPr>
            <w:tcW w:w="1326"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p>
        </w:tc>
        <w:tc>
          <w:tcPr>
            <w:tcW w:w="1115"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2094,6</w:t>
            </w:r>
          </w:p>
        </w:tc>
      </w:tr>
      <w:tr w:rsidR="009F0C59" w:rsidRPr="009D008F">
        <w:tc>
          <w:tcPr>
            <w:tcW w:w="3172"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1336"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p>
        </w:tc>
        <w:tc>
          <w:tcPr>
            <w:tcW w:w="1326"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p>
        </w:tc>
        <w:tc>
          <w:tcPr>
            <w:tcW w:w="1115" w:type="dxa"/>
            <w:vAlign w:val="center"/>
          </w:tcPr>
          <w:p w:rsidR="009F0C59" w:rsidRPr="001059CE" w:rsidRDefault="009F0C59" w:rsidP="00645769">
            <w:pPr>
              <w:widowControl w:val="0"/>
              <w:autoSpaceDE w:val="0"/>
              <w:autoSpaceDN w:val="0"/>
              <w:adjustRightInd w:val="0"/>
              <w:jc w:val="center"/>
              <w:rPr>
                <w:rFonts w:ascii="Times New Roman" w:hAnsi="Times New Roman" w:cs="Times New Roman"/>
              </w:rPr>
            </w:pPr>
            <w:r>
              <w:rPr>
                <w:rFonts w:ascii="Times New Roman" w:hAnsi="Times New Roman" w:cs="Times New Roman"/>
              </w:rPr>
              <w:t>63,2</w:t>
            </w:r>
          </w:p>
        </w:tc>
      </w:tr>
    </w:tbl>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6C4DD1" w:rsidRDefault="009F0C59" w:rsidP="006C4D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6A23">
        <w:rPr>
          <w:rFonts w:ascii="Times New Roman" w:hAnsi="Times New Roman" w:cs="Times New Roman"/>
        </w:rPr>
        <w:t>3</w:t>
      </w:r>
      <w:r>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w:t>
      </w:r>
      <w:r w:rsidRPr="00BB0287">
        <w:rPr>
          <w:rFonts w:ascii="Times New Roman" w:hAnsi="Times New Roman" w:cs="Times New Roman"/>
        </w:rPr>
        <w:t xml:space="preserve">составляет </w:t>
      </w:r>
      <w:r w:rsidRPr="006C4DD1">
        <w:rPr>
          <w:rFonts w:ascii="Times New Roman" w:hAnsi="Times New Roman" w:cs="Times New Roman"/>
          <w:sz w:val="24"/>
          <w:szCs w:val="24"/>
        </w:rPr>
        <w:t>2157,8 тыс. рублей, из них средства местного бюджета – 2157,8 тыс.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351"/>
        <w:gridCol w:w="1144"/>
        <w:gridCol w:w="945"/>
        <w:gridCol w:w="1084"/>
        <w:gridCol w:w="1375"/>
      </w:tblGrid>
      <w:tr w:rsidR="009F0C59" w:rsidRPr="009D008F">
        <w:tc>
          <w:tcPr>
            <w:tcW w:w="562"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4"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5"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2"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51"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375"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562"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351"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p>
          <w:p w:rsidR="009F0C59" w:rsidRPr="006C4DD1" w:rsidRDefault="009F0C59" w:rsidP="00645769">
            <w:pPr>
              <w:jc w:val="center"/>
              <w:rPr>
                <w:rFonts w:ascii="Times New Roman" w:hAnsi="Times New Roman" w:cs="Times New Roman"/>
              </w:rPr>
            </w:pPr>
            <w:r w:rsidRPr="006C4DD1">
              <w:rPr>
                <w:rFonts w:ascii="Times New Roman" w:hAnsi="Times New Roman" w:cs="Times New Roman"/>
              </w:rPr>
              <w:t>1258,2</w:t>
            </w:r>
          </w:p>
        </w:tc>
        <w:tc>
          <w:tcPr>
            <w:tcW w:w="1144"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p>
          <w:p w:rsidR="009F0C59" w:rsidRPr="006C4DD1" w:rsidRDefault="009F0C59" w:rsidP="00645769">
            <w:pPr>
              <w:widowControl w:val="0"/>
              <w:autoSpaceDE w:val="0"/>
              <w:autoSpaceDN w:val="0"/>
              <w:adjustRightInd w:val="0"/>
              <w:jc w:val="center"/>
              <w:rPr>
                <w:rFonts w:ascii="Times New Roman" w:hAnsi="Times New Roman" w:cs="Times New Roman"/>
              </w:rPr>
            </w:pPr>
            <w:r w:rsidRPr="006C4DD1">
              <w:rPr>
                <w:rFonts w:ascii="Times New Roman" w:hAnsi="Times New Roman" w:cs="Times New Roman"/>
              </w:rPr>
              <w:t>899,6</w:t>
            </w:r>
          </w:p>
        </w:tc>
        <w:tc>
          <w:tcPr>
            <w:tcW w:w="945" w:type="dxa"/>
            <w:vAlign w:val="center"/>
          </w:tcPr>
          <w:p w:rsidR="009F0C59" w:rsidRPr="006C4DD1" w:rsidRDefault="009F0C59" w:rsidP="00645769">
            <w:pPr>
              <w:jc w:val="center"/>
              <w:rPr>
                <w:rFonts w:ascii="Times New Roman" w:hAnsi="Times New Roman" w:cs="Times New Roman"/>
              </w:rPr>
            </w:pPr>
          </w:p>
        </w:tc>
        <w:tc>
          <w:tcPr>
            <w:tcW w:w="1084"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p>
        </w:tc>
        <w:tc>
          <w:tcPr>
            <w:tcW w:w="1375"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p>
          <w:p w:rsidR="009F0C59" w:rsidRPr="006C4DD1" w:rsidRDefault="009F0C59" w:rsidP="00645769">
            <w:pPr>
              <w:widowControl w:val="0"/>
              <w:autoSpaceDE w:val="0"/>
              <w:autoSpaceDN w:val="0"/>
              <w:adjustRightInd w:val="0"/>
              <w:jc w:val="center"/>
              <w:rPr>
                <w:rFonts w:ascii="Times New Roman" w:hAnsi="Times New Roman" w:cs="Times New Roman"/>
              </w:rPr>
            </w:pPr>
            <w:r w:rsidRPr="006C4DD1">
              <w:rPr>
                <w:rFonts w:ascii="Times New Roman" w:hAnsi="Times New Roman" w:cs="Times New Roman"/>
              </w:rPr>
              <w:t>2157,8</w:t>
            </w:r>
          </w:p>
        </w:tc>
      </w:tr>
      <w:tr w:rsidR="009F0C59" w:rsidRPr="009D008F">
        <w:tc>
          <w:tcPr>
            <w:tcW w:w="562"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51"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r w:rsidRPr="006C4DD1">
              <w:rPr>
                <w:rFonts w:ascii="Times New Roman" w:hAnsi="Times New Roman" w:cs="Times New Roman"/>
              </w:rPr>
              <w:t>1258,2</w:t>
            </w:r>
          </w:p>
        </w:tc>
        <w:tc>
          <w:tcPr>
            <w:tcW w:w="1144"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r w:rsidRPr="006C4DD1">
              <w:rPr>
                <w:rFonts w:ascii="Times New Roman" w:hAnsi="Times New Roman" w:cs="Times New Roman"/>
              </w:rPr>
              <w:t>899,6</w:t>
            </w:r>
          </w:p>
        </w:tc>
        <w:tc>
          <w:tcPr>
            <w:tcW w:w="945" w:type="dxa"/>
          </w:tcPr>
          <w:p w:rsidR="009F0C59" w:rsidRPr="006C4DD1" w:rsidRDefault="009F0C59" w:rsidP="00645769">
            <w:pPr>
              <w:widowControl w:val="0"/>
              <w:autoSpaceDE w:val="0"/>
              <w:autoSpaceDN w:val="0"/>
              <w:adjustRightInd w:val="0"/>
              <w:jc w:val="center"/>
              <w:rPr>
                <w:rFonts w:ascii="Times New Roman" w:hAnsi="Times New Roman" w:cs="Times New Roman"/>
              </w:rPr>
            </w:pPr>
          </w:p>
        </w:tc>
        <w:tc>
          <w:tcPr>
            <w:tcW w:w="1084"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p>
        </w:tc>
        <w:tc>
          <w:tcPr>
            <w:tcW w:w="1375" w:type="dxa"/>
            <w:vAlign w:val="center"/>
          </w:tcPr>
          <w:p w:rsidR="009F0C59" w:rsidRPr="006C4DD1" w:rsidRDefault="009F0C59" w:rsidP="00645769">
            <w:pPr>
              <w:widowControl w:val="0"/>
              <w:autoSpaceDE w:val="0"/>
              <w:autoSpaceDN w:val="0"/>
              <w:adjustRightInd w:val="0"/>
              <w:jc w:val="center"/>
              <w:rPr>
                <w:rFonts w:ascii="Times New Roman" w:hAnsi="Times New Roman" w:cs="Times New Roman"/>
              </w:rPr>
            </w:pPr>
            <w:r w:rsidRPr="006C4DD1">
              <w:rPr>
                <w:rFonts w:ascii="Times New Roman" w:hAnsi="Times New Roman" w:cs="Times New Roman"/>
              </w:rPr>
              <w:t>2157,8</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3 "Организация благоустройства территории</w:t>
      </w:r>
      <w:r>
        <w:rPr>
          <w:rFonts w:ascii="Times New Roman" w:hAnsi="Times New Roman" w:cs="Times New Roman"/>
        </w:rPr>
        <w:t xml:space="preserve">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 xml:space="preserve"> </w:t>
      </w: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Pr="00CA6A23">
        <w:rPr>
          <w:rFonts w:ascii="Times New Roman" w:hAnsi="Times New Roman" w:cs="Times New Roman"/>
        </w:rPr>
        <w:t xml:space="preserve">. Реализация подпрограммы 3 "Организация благоустройства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1</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3" w:name="Par369"/>
      <w:bookmarkEnd w:id="3"/>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4" w:name="Par373"/>
      <w:bookmarkEnd w:id="4"/>
      <w:r w:rsidRPr="00CA6A23">
        <w:rPr>
          <w:rFonts w:ascii="Times New Roman" w:hAnsi="Times New Roman" w:cs="Times New Roman"/>
        </w:rPr>
        <w:t>д)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2</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Pr>
          <w:rFonts w:ascii="Times New Roman" w:hAnsi="Times New Roman" w:cs="Times New Roman"/>
        </w:rPr>
        <w:t xml:space="preserve">административное </w:t>
      </w:r>
      <w:r w:rsidRPr="00CA6A23">
        <w:rPr>
          <w:rFonts w:ascii="Times New Roman" w:hAnsi="Times New Roman" w:cs="Times New Roman"/>
        </w:rPr>
        <w:t>мероп</w:t>
      </w:r>
      <w:r>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 вывезе</w:t>
      </w:r>
      <w:r>
        <w:rPr>
          <w:rFonts w:ascii="Times New Roman" w:hAnsi="Times New Roman" w:cs="Times New Roman"/>
        </w:rPr>
        <w:t>нного и утилизированного мусора;</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5" w:name="Par375"/>
      <w:bookmarkEnd w:id="5"/>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6" w:name="Par376"/>
      <w:bookmarkEnd w:id="6"/>
      <w:r>
        <w:rPr>
          <w:rFonts w:ascii="Times New Roman" w:hAnsi="Times New Roman" w:cs="Times New Roman"/>
        </w:rPr>
        <w:t>в</w:t>
      </w:r>
      <w:r w:rsidRPr="00CA6A23">
        <w:rPr>
          <w:rFonts w:ascii="Times New Roman" w:hAnsi="Times New Roman" w:cs="Times New Roman"/>
        </w:rPr>
        <w:t xml:space="preserve">) 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Pr="00D8661A">
        <w:t xml:space="preserve"> </w:t>
      </w:r>
      <w:r w:rsidRPr="00D8661A">
        <w:rPr>
          <w:rFonts w:ascii="Times New Roman" w:hAnsi="Times New Roman" w:cs="Times New Roman"/>
        </w:rPr>
        <w:t>количество участков.</w:t>
      </w:r>
    </w:p>
    <w:p w:rsidR="009F0C59" w:rsidRPr="00BA1FAD" w:rsidRDefault="009F0C59" w:rsidP="00BA1FA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9F0C59" w:rsidRPr="00BA1FAD" w:rsidRDefault="009F0C59"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9F0C59" w:rsidRDefault="009F0C59" w:rsidP="0068521D">
      <w:pPr>
        <w:pStyle w:val="NoSpacing"/>
        <w:rPr>
          <w:rFonts w:ascii="Times New Roman" w:hAnsi="Times New Roman" w:cs="Times New Roman"/>
        </w:rPr>
      </w:pPr>
      <w:r w:rsidRPr="00CA6A23">
        <w:rPr>
          <w:rFonts w:ascii="Times New Roman" w:hAnsi="Times New Roman" w:cs="Times New Roman"/>
        </w:rPr>
        <w:t xml:space="preserve">         4</w:t>
      </w:r>
      <w:r>
        <w:rPr>
          <w:rFonts w:ascii="Times New Roman" w:hAnsi="Times New Roman" w:cs="Times New Roman"/>
        </w:rPr>
        <w:t>3</w:t>
      </w:r>
      <w:r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5</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NoSpacing"/>
        <w:rPr>
          <w:rFonts w:ascii="Times New Roman" w:hAnsi="Times New Roman" w:cs="Times New Roman"/>
        </w:rPr>
      </w:pPr>
    </w:p>
    <w:p w:rsidR="009F0C59" w:rsidRPr="00CA6A23" w:rsidRDefault="009F0C59" w:rsidP="0068521D">
      <w:pPr>
        <w:pStyle w:val="NoSpacing"/>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1320"/>
        <w:gridCol w:w="1223"/>
        <w:gridCol w:w="1327"/>
        <w:gridCol w:w="1315"/>
        <w:gridCol w:w="1119"/>
      </w:tblGrid>
      <w:tr w:rsidR="009F0C59" w:rsidRPr="009D008F">
        <w:tc>
          <w:tcPr>
            <w:tcW w:w="3158"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18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9F0C59" w:rsidRPr="009D008F">
        <w:tc>
          <w:tcPr>
            <w:tcW w:w="3158"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c>
          <w:tcPr>
            <w:tcW w:w="1320"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223"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1327"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315"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119" w:type="dxa"/>
            <w:vMerge/>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p>
        </w:tc>
      </w:tr>
      <w:tr w:rsidR="009F0C59" w:rsidRPr="009D008F">
        <w:tc>
          <w:tcPr>
            <w:tcW w:w="3158"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320"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223" w:type="dxa"/>
            <w:vAlign w:val="center"/>
          </w:tcPr>
          <w:p w:rsidR="009F0C59" w:rsidRPr="009D008F" w:rsidRDefault="009F0C59" w:rsidP="00645769">
            <w:pPr>
              <w:spacing w:after="0" w:line="240" w:lineRule="auto"/>
              <w:jc w:val="center"/>
            </w:pPr>
            <w:r>
              <w:rPr>
                <w:rFonts w:ascii="Times New Roman" w:hAnsi="Times New Roman" w:cs="Times New Roman"/>
              </w:rPr>
              <w:t>366,3</w:t>
            </w:r>
          </w:p>
        </w:tc>
        <w:tc>
          <w:tcPr>
            <w:tcW w:w="1327" w:type="dxa"/>
            <w:vAlign w:val="center"/>
          </w:tcPr>
          <w:p w:rsidR="009F0C59" w:rsidRPr="009D008F" w:rsidRDefault="009F0C59" w:rsidP="00645769">
            <w:pPr>
              <w:spacing w:after="0" w:line="240" w:lineRule="auto"/>
              <w:jc w:val="center"/>
            </w:pPr>
            <w:r>
              <w:rPr>
                <w:rFonts w:ascii="Times New Roman" w:hAnsi="Times New Roman" w:cs="Times New Roman"/>
              </w:rPr>
              <w:t>410</w:t>
            </w:r>
          </w:p>
        </w:tc>
        <w:tc>
          <w:tcPr>
            <w:tcW w:w="1315"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359,1</w:t>
            </w:r>
          </w:p>
        </w:tc>
        <w:tc>
          <w:tcPr>
            <w:tcW w:w="1119"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1653,2</w:t>
            </w:r>
          </w:p>
        </w:tc>
      </w:tr>
      <w:tr w:rsidR="009F0C59" w:rsidRPr="009D008F">
        <w:tc>
          <w:tcPr>
            <w:tcW w:w="3158" w:type="dxa"/>
          </w:tcPr>
          <w:p w:rsidR="009F0C59" w:rsidRPr="009D008F" w:rsidRDefault="009F0C59"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320"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223" w:type="dxa"/>
          </w:tcPr>
          <w:p w:rsidR="009F0C59" w:rsidRPr="009D008F" w:rsidRDefault="009F0C59" w:rsidP="00645769">
            <w:pPr>
              <w:spacing w:after="0" w:line="240" w:lineRule="auto"/>
              <w:rPr>
                <w:rFonts w:ascii="Times New Roman" w:hAnsi="Times New Roman" w:cs="Times New Roman"/>
              </w:rPr>
            </w:pPr>
          </w:p>
          <w:p w:rsidR="009F0C59" w:rsidRPr="009D008F" w:rsidRDefault="009F0C59" w:rsidP="00645769">
            <w:pPr>
              <w:spacing w:after="0" w:line="240" w:lineRule="auto"/>
              <w:jc w:val="center"/>
              <w:rPr>
                <w:rFonts w:ascii="Times New Roman" w:hAnsi="Times New Roman" w:cs="Times New Roman"/>
              </w:rPr>
            </w:pPr>
            <w:r>
              <w:rPr>
                <w:rFonts w:ascii="Times New Roman" w:hAnsi="Times New Roman" w:cs="Times New Roman"/>
              </w:rPr>
              <w:t>20</w:t>
            </w:r>
          </w:p>
        </w:tc>
        <w:tc>
          <w:tcPr>
            <w:tcW w:w="1327"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315"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1119"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149</w:t>
            </w:r>
          </w:p>
        </w:tc>
      </w:tr>
    </w:tbl>
    <w:p w:rsidR="009F0C59" w:rsidRPr="00CA6A23" w:rsidRDefault="009F0C59" w:rsidP="0068521D">
      <w:pPr>
        <w:pStyle w:val="NoSpacing"/>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4</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Pr="006C4DD1">
        <w:rPr>
          <w:rFonts w:ascii="Times New Roman" w:hAnsi="Times New Roman" w:cs="Times New Roman"/>
        </w:rPr>
        <w:t>1802,2</w:t>
      </w:r>
      <w:r w:rsidRPr="008A7774">
        <w:rPr>
          <w:rFonts w:ascii="Times New Roman" w:hAnsi="Times New Roman" w:cs="Times New Roman"/>
          <w:sz w:val="28"/>
          <w:szCs w:val="28"/>
        </w:rPr>
        <w:t xml:space="preserve">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5</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 xml:space="preserve">городского поселения </w:t>
      </w:r>
      <w:r w:rsidRPr="007140A5">
        <w:rPr>
          <w:rFonts w:ascii="Times New Roman" w:hAnsi="Times New Roman" w:cs="Times New Roman"/>
        </w:rPr>
        <w:t xml:space="preserve"> </w:t>
      </w:r>
      <w:r>
        <w:rPr>
          <w:rFonts w:ascii="Times New Roman" w:hAnsi="Times New Roman" w:cs="Times New Roman"/>
        </w:rPr>
        <w:t>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1146"/>
        <w:gridCol w:w="946"/>
        <w:gridCol w:w="1084"/>
        <w:gridCol w:w="1401"/>
      </w:tblGrid>
      <w:tr w:rsidR="009F0C59" w:rsidRPr="009D008F">
        <w:trPr>
          <w:trHeight w:val="659"/>
        </w:trPr>
        <w:tc>
          <w:tcPr>
            <w:tcW w:w="562"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974" w:type="dxa"/>
            <w:vMerge w:val="restart"/>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25" w:type="dxa"/>
            <w:gridSpan w:val="4"/>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401" w:type="dxa"/>
            <w:vMerge w:val="restart"/>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9F0C59" w:rsidRPr="009D008F">
        <w:tc>
          <w:tcPr>
            <w:tcW w:w="562"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6"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84" w:type="dxa"/>
          </w:tcPr>
          <w:p w:rsidR="009F0C59" w:rsidRPr="009D008F" w:rsidRDefault="009F0C59"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1401" w:type="dxa"/>
            <w:vMerge/>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r>
      <w:tr w:rsidR="009F0C59" w:rsidRPr="009D008F">
        <w:tc>
          <w:tcPr>
            <w:tcW w:w="562"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1146"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386,3</w:t>
            </w:r>
          </w:p>
        </w:tc>
        <w:tc>
          <w:tcPr>
            <w:tcW w:w="946" w:type="dxa"/>
          </w:tcPr>
          <w:p w:rsidR="009F0C59" w:rsidRPr="009D008F" w:rsidRDefault="009F0C59" w:rsidP="00645769">
            <w:pPr>
              <w:spacing w:after="0" w:line="240" w:lineRule="auto"/>
              <w:jc w:val="center"/>
              <w:rPr>
                <w:rFonts w:ascii="Times New Roman" w:hAnsi="Times New Roman" w:cs="Times New Roman"/>
              </w:rPr>
            </w:pPr>
          </w:p>
          <w:p w:rsidR="009F0C59" w:rsidRDefault="009F0C59" w:rsidP="00645769">
            <w:pPr>
              <w:spacing w:after="0" w:line="240" w:lineRule="auto"/>
              <w:jc w:val="center"/>
              <w:rPr>
                <w:rFonts w:ascii="Times New Roman" w:hAnsi="Times New Roman" w:cs="Times New Roman"/>
              </w:rPr>
            </w:pPr>
          </w:p>
          <w:p w:rsidR="009F0C59" w:rsidRDefault="009F0C59" w:rsidP="00645769">
            <w:pPr>
              <w:spacing w:after="0" w:line="240" w:lineRule="auto"/>
              <w:rPr>
                <w:rFonts w:ascii="Times New Roman" w:hAnsi="Times New Roman" w:cs="Times New Roman"/>
              </w:rPr>
            </w:pPr>
            <w:r>
              <w:rPr>
                <w:rFonts w:ascii="Times New Roman" w:hAnsi="Times New Roman" w:cs="Times New Roman"/>
              </w:rPr>
              <w:t xml:space="preserve">  </w:t>
            </w:r>
          </w:p>
          <w:p w:rsidR="009F0C59" w:rsidRPr="009D008F" w:rsidRDefault="009F0C59" w:rsidP="00645769">
            <w:pPr>
              <w:spacing w:after="0" w:line="240" w:lineRule="auto"/>
              <w:rPr>
                <w:rFonts w:ascii="Times New Roman" w:hAnsi="Times New Roman" w:cs="Times New Roman"/>
              </w:rPr>
            </w:pPr>
            <w:r>
              <w:rPr>
                <w:rFonts w:ascii="Times New Roman" w:hAnsi="Times New Roman" w:cs="Times New Roman"/>
              </w:rPr>
              <w:t>430</w:t>
            </w:r>
          </w:p>
        </w:tc>
        <w:tc>
          <w:tcPr>
            <w:tcW w:w="1084"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379,1</w:t>
            </w:r>
          </w:p>
        </w:tc>
        <w:tc>
          <w:tcPr>
            <w:tcW w:w="1401"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1802,2</w:t>
            </w:r>
          </w:p>
        </w:tc>
      </w:tr>
      <w:tr w:rsidR="009F0C59" w:rsidRPr="009D008F">
        <w:tc>
          <w:tcPr>
            <w:tcW w:w="562"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9F0C59" w:rsidRPr="009D008F" w:rsidRDefault="009F0C59"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1146"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386,3</w:t>
            </w:r>
          </w:p>
        </w:tc>
        <w:tc>
          <w:tcPr>
            <w:tcW w:w="946" w:type="dxa"/>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w:t>
            </w:r>
          </w:p>
        </w:tc>
        <w:tc>
          <w:tcPr>
            <w:tcW w:w="1084"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379,1</w:t>
            </w:r>
          </w:p>
        </w:tc>
        <w:tc>
          <w:tcPr>
            <w:tcW w:w="1401" w:type="dxa"/>
            <w:vAlign w:val="center"/>
          </w:tcPr>
          <w:p w:rsidR="009F0C59" w:rsidRPr="009D008F" w:rsidRDefault="009F0C59" w:rsidP="0064576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1802,2</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V</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8" w:name="Par776"/>
      <w:bookmarkEnd w:id="8"/>
      <w:r w:rsidRPr="00655E8C">
        <w:rPr>
          <w:rFonts w:ascii="Times New Roman" w:hAnsi="Times New Roman" w:cs="Times New Roman"/>
        </w:rPr>
        <w:t>Подраздел 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655E8C">
        <w:rPr>
          <w:rFonts w:ascii="Times New Roman" w:hAnsi="Times New Roman" w:cs="Times New Roman"/>
        </w:rPr>
        <w:t xml:space="preserve"> </w:t>
      </w:r>
      <w:r>
        <w:rPr>
          <w:rFonts w:ascii="Times New Roman" w:hAnsi="Times New Roman" w:cs="Times New Roman"/>
        </w:rPr>
        <w:t xml:space="preserve">поселок Старая Торопа </w:t>
      </w:r>
      <w:r w:rsidRPr="00655E8C">
        <w:rPr>
          <w:rFonts w:ascii="Times New Roman" w:hAnsi="Times New Roman" w:cs="Times New Roman"/>
        </w:rPr>
        <w:t>Западнодвинского района Тверской области.</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9" w:name="Par795"/>
      <w:bookmarkEnd w:id="9"/>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56</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r w:rsidRPr="00F023A3">
        <w:rPr>
          <w:rFonts w:ascii="Times New Roman" w:hAnsi="Times New Roman" w:cs="Times New Roman"/>
        </w:rPr>
        <w:t>.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60</w:t>
      </w:r>
      <w:r w:rsidRPr="00655E8C">
        <w:rPr>
          <w:rFonts w:ascii="Times New Roman" w:hAnsi="Times New Roman" w:cs="Times New Roman"/>
        </w:rPr>
        <w:t xml:space="preserve">. </w:t>
      </w:r>
      <w:r w:rsidRPr="00F023A3">
        <w:rPr>
          <w:rFonts w:ascii="Times New Roman" w:hAnsi="Times New Roman" w:cs="Times New Roman"/>
        </w:rPr>
        <w:t>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10" w:name="Par839"/>
      <w:bookmarkEnd w:id="10"/>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11" w:name="Par855"/>
      <w:bookmarkEnd w:id="11"/>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общественными объединениями, в том числе с социально</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61</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поселок Старая Торопа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60461"/>
    <w:rsid w:val="00060D40"/>
    <w:rsid w:val="0006363E"/>
    <w:rsid w:val="00063E30"/>
    <w:rsid w:val="0007212A"/>
    <w:rsid w:val="00080767"/>
    <w:rsid w:val="000A68EC"/>
    <w:rsid w:val="000C3902"/>
    <w:rsid w:val="000D1427"/>
    <w:rsid w:val="000E1E15"/>
    <w:rsid w:val="001059CE"/>
    <w:rsid w:val="00133740"/>
    <w:rsid w:val="00152519"/>
    <w:rsid w:val="0016100C"/>
    <w:rsid w:val="001669A9"/>
    <w:rsid w:val="0017445E"/>
    <w:rsid w:val="00180034"/>
    <w:rsid w:val="00191BF7"/>
    <w:rsid w:val="00191E40"/>
    <w:rsid w:val="00196EC6"/>
    <w:rsid w:val="001B677F"/>
    <w:rsid w:val="001C4BD6"/>
    <w:rsid w:val="001D4056"/>
    <w:rsid w:val="001E5BE6"/>
    <w:rsid w:val="001E6D82"/>
    <w:rsid w:val="00207F9B"/>
    <w:rsid w:val="00223CB8"/>
    <w:rsid w:val="00236D72"/>
    <w:rsid w:val="00244FCF"/>
    <w:rsid w:val="0024519C"/>
    <w:rsid w:val="00265AD5"/>
    <w:rsid w:val="00266DA5"/>
    <w:rsid w:val="00287759"/>
    <w:rsid w:val="00293E19"/>
    <w:rsid w:val="00295D03"/>
    <w:rsid w:val="002A47F7"/>
    <w:rsid w:val="002A545D"/>
    <w:rsid w:val="002B0EF7"/>
    <w:rsid w:val="002C0244"/>
    <w:rsid w:val="002C2E1B"/>
    <w:rsid w:val="002D0661"/>
    <w:rsid w:val="002D10AA"/>
    <w:rsid w:val="002D5F9D"/>
    <w:rsid w:val="002F6D95"/>
    <w:rsid w:val="003041D2"/>
    <w:rsid w:val="00304BCF"/>
    <w:rsid w:val="0030711B"/>
    <w:rsid w:val="00326218"/>
    <w:rsid w:val="0033208E"/>
    <w:rsid w:val="003402DA"/>
    <w:rsid w:val="003444CC"/>
    <w:rsid w:val="003461A7"/>
    <w:rsid w:val="0035206C"/>
    <w:rsid w:val="0035353F"/>
    <w:rsid w:val="00370D5B"/>
    <w:rsid w:val="00373C62"/>
    <w:rsid w:val="0039040B"/>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615D"/>
    <w:rsid w:val="004D5E8B"/>
    <w:rsid w:val="004E3C14"/>
    <w:rsid w:val="005055E1"/>
    <w:rsid w:val="005115B3"/>
    <w:rsid w:val="00512A6C"/>
    <w:rsid w:val="0051599D"/>
    <w:rsid w:val="0052364B"/>
    <w:rsid w:val="0053565D"/>
    <w:rsid w:val="00552B7E"/>
    <w:rsid w:val="00556A7D"/>
    <w:rsid w:val="00583F54"/>
    <w:rsid w:val="005910AD"/>
    <w:rsid w:val="005A408E"/>
    <w:rsid w:val="005C0328"/>
    <w:rsid w:val="005E2142"/>
    <w:rsid w:val="005E63BC"/>
    <w:rsid w:val="005F23D3"/>
    <w:rsid w:val="005F5FE1"/>
    <w:rsid w:val="00605033"/>
    <w:rsid w:val="00615F4B"/>
    <w:rsid w:val="00631D55"/>
    <w:rsid w:val="006348E2"/>
    <w:rsid w:val="00641D01"/>
    <w:rsid w:val="00644693"/>
    <w:rsid w:val="00645769"/>
    <w:rsid w:val="00655E8C"/>
    <w:rsid w:val="00662A32"/>
    <w:rsid w:val="0068027B"/>
    <w:rsid w:val="0068521D"/>
    <w:rsid w:val="00687278"/>
    <w:rsid w:val="006906F8"/>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69A2"/>
    <w:rsid w:val="007D6BD4"/>
    <w:rsid w:val="007E1443"/>
    <w:rsid w:val="007E7941"/>
    <w:rsid w:val="007F6C95"/>
    <w:rsid w:val="00800FA4"/>
    <w:rsid w:val="00810510"/>
    <w:rsid w:val="0081264E"/>
    <w:rsid w:val="00841E5C"/>
    <w:rsid w:val="00850933"/>
    <w:rsid w:val="0086080E"/>
    <w:rsid w:val="008846D5"/>
    <w:rsid w:val="00893500"/>
    <w:rsid w:val="008A01F0"/>
    <w:rsid w:val="008A6199"/>
    <w:rsid w:val="008A7774"/>
    <w:rsid w:val="008B1804"/>
    <w:rsid w:val="008B2B61"/>
    <w:rsid w:val="008B47F4"/>
    <w:rsid w:val="008B4AA5"/>
    <w:rsid w:val="008B68F9"/>
    <w:rsid w:val="008C4F34"/>
    <w:rsid w:val="008D2B22"/>
    <w:rsid w:val="008D3FE4"/>
    <w:rsid w:val="008D71E2"/>
    <w:rsid w:val="008E3846"/>
    <w:rsid w:val="009328FA"/>
    <w:rsid w:val="00966694"/>
    <w:rsid w:val="009862F3"/>
    <w:rsid w:val="00990916"/>
    <w:rsid w:val="009930D5"/>
    <w:rsid w:val="00993C7F"/>
    <w:rsid w:val="009B4D21"/>
    <w:rsid w:val="009B4F03"/>
    <w:rsid w:val="009B5B40"/>
    <w:rsid w:val="009C54AD"/>
    <w:rsid w:val="009C6AC1"/>
    <w:rsid w:val="009D008F"/>
    <w:rsid w:val="009D7D5D"/>
    <w:rsid w:val="009E70FA"/>
    <w:rsid w:val="009E7A52"/>
    <w:rsid w:val="009F0C59"/>
    <w:rsid w:val="00A02789"/>
    <w:rsid w:val="00A02F88"/>
    <w:rsid w:val="00A0428B"/>
    <w:rsid w:val="00A05545"/>
    <w:rsid w:val="00A062FA"/>
    <w:rsid w:val="00A11DC8"/>
    <w:rsid w:val="00A3321A"/>
    <w:rsid w:val="00A349C2"/>
    <w:rsid w:val="00A41B05"/>
    <w:rsid w:val="00A602D9"/>
    <w:rsid w:val="00A67F5E"/>
    <w:rsid w:val="00A70479"/>
    <w:rsid w:val="00A70C1E"/>
    <w:rsid w:val="00A85246"/>
    <w:rsid w:val="00A86AEE"/>
    <w:rsid w:val="00AB2BB7"/>
    <w:rsid w:val="00AC7204"/>
    <w:rsid w:val="00AF2794"/>
    <w:rsid w:val="00B00EC2"/>
    <w:rsid w:val="00B02716"/>
    <w:rsid w:val="00B13868"/>
    <w:rsid w:val="00B25938"/>
    <w:rsid w:val="00B341F0"/>
    <w:rsid w:val="00B623FE"/>
    <w:rsid w:val="00B72D3B"/>
    <w:rsid w:val="00B83CEB"/>
    <w:rsid w:val="00BA1FAD"/>
    <w:rsid w:val="00BB0287"/>
    <w:rsid w:val="00BC00E5"/>
    <w:rsid w:val="00BF27B9"/>
    <w:rsid w:val="00C14063"/>
    <w:rsid w:val="00C229E3"/>
    <w:rsid w:val="00C2592E"/>
    <w:rsid w:val="00C27AF8"/>
    <w:rsid w:val="00C46683"/>
    <w:rsid w:val="00C51041"/>
    <w:rsid w:val="00C61966"/>
    <w:rsid w:val="00C77875"/>
    <w:rsid w:val="00C81D55"/>
    <w:rsid w:val="00C8229B"/>
    <w:rsid w:val="00C93E44"/>
    <w:rsid w:val="00CA2A4C"/>
    <w:rsid w:val="00CA6A23"/>
    <w:rsid w:val="00CA7D28"/>
    <w:rsid w:val="00D06283"/>
    <w:rsid w:val="00D466A0"/>
    <w:rsid w:val="00D4785E"/>
    <w:rsid w:val="00D60C25"/>
    <w:rsid w:val="00D66557"/>
    <w:rsid w:val="00D77533"/>
    <w:rsid w:val="00D77BE2"/>
    <w:rsid w:val="00D855CB"/>
    <w:rsid w:val="00D8661A"/>
    <w:rsid w:val="00DA3CDD"/>
    <w:rsid w:val="00DA77CD"/>
    <w:rsid w:val="00DE7CB1"/>
    <w:rsid w:val="00E0069E"/>
    <w:rsid w:val="00E0403A"/>
    <w:rsid w:val="00E044FA"/>
    <w:rsid w:val="00E17FC4"/>
    <w:rsid w:val="00E35A9B"/>
    <w:rsid w:val="00E55E92"/>
    <w:rsid w:val="00E85BE8"/>
    <w:rsid w:val="00E966EF"/>
    <w:rsid w:val="00EC43EF"/>
    <w:rsid w:val="00EC5807"/>
    <w:rsid w:val="00ED2D3E"/>
    <w:rsid w:val="00EE7123"/>
    <w:rsid w:val="00EF10D9"/>
    <w:rsid w:val="00F023A3"/>
    <w:rsid w:val="00F04A67"/>
    <w:rsid w:val="00F17529"/>
    <w:rsid w:val="00F51517"/>
    <w:rsid w:val="00F60A53"/>
    <w:rsid w:val="00F637CF"/>
    <w:rsid w:val="00F64726"/>
    <w:rsid w:val="00F6506F"/>
    <w:rsid w:val="00F668C2"/>
    <w:rsid w:val="00F84D05"/>
    <w:rsid w:val="00F93560"/>
    <w:rsid w:val="00FA0E7E"/>
    <w:rsid w:val="00FA5292"/>
    <w:rsid w:val="00FA62F8"/>
    <w:rsid w:val="00FC746B"/>
    <w:rsid w:val="00FE6BEF"/>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cs="Calibri"/>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A01F0"/>
    <w:pPr>
      <w:ind w:left="720"/>
    </w:pPr>
  </w:style>
  <w:style w:type="paragraph" w:styleId="BalloonText">
    <w:name w:val="Balloon Text"/>
    <w:basedOn w:val="Normal"/>
    <w:link w:val="BalloonTextChar"/>
    <w:uiPriority w:val="99"/>
    <w:semiHidden/>
    <w:rsid w:val="005F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1537</TotalTime>
  <Pages>15</Pages>
  <Words>5215</Words>
  <Characters>29726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131</cp:revision>
  <cp:lastPrinted>2015-12-25T10:24:00Z</cp:lastPrinted>
  <dcterms:created xsi:type="dcterms:W3CDTF">2014-09-04T10:59:00Z</dcterms:created>
  <dcterms:modified xsi:type="dcterms:W3CDTF">2003-01-01T18:42:00Z</dcterms:modified>
</cp:coreProperties>
</file>